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C9" w:rsidRPr="00650702" w:rsidRDefault="00A9200F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650702">
        <w:rPr>
          <w:rFonts w:ascii="Arial" w:hAnsi="Arial" w:cs="Arial"/>
          <w:b/>
          <w:bCs/>
          <w:sz w:val="22"/>
          <w:szCs w:val="22"/>
          <w:lang w:val="uk-UA"/>
        </w:rPr>
        <w:t>Пріоритети реформування сектору юстиції</w:t>
      </w:r>
    </w:p>
    <w:p w:rsidR="006623C9" w:rsidRPr="00650702" w:rsidRDefault="006623C9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6623C9" w:rsidRPr="00AA1112" w:rsidRDefault="00A9200F">
      <w:p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I. Судочинство, що орієнтоване на задоволення потреб людей та передбачає участь громадськості </w:t>
      </w:r>
    </w:p>
    <w:p w:rsidR="006623C9" w:rsidRPr="00AA1112" w:rsidRDefault="006623C9">
      <w:pPr>
        <w:pStyle w:val="BodyText"/>
        <w:spacing w:after="0" w:line="240" w:lineRule="auto"/>
        <w:ind w:left="720"/>
        <w:jc w:val="both"/>
        <w:rPr>
          <w:rFonts w:ascii="Arial" w:hAnsi="Arial" w:cs="Arial"/>
          <w:sz w:val="21"/>
          <w:szCs w:val="21"/>
          <w:lang w:val="uk-UA"/>
        </w:rPr>
      </w:pPr>
    </w:p>
    <w:p w:rsidR="006623C9" w:rsidRPr="00AA1112" w:rsidRDefault="00A9200F">
      <w:p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II.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Захист прав власності, економічне зростання та бізнес-клімат</w:t>
      </w:r>
    </w:p>
    <w:p w:rsidR="006623C9" w:rsidRPr="00AA1112" w:rsidRDefault="004750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>Прирівнювання мандату державних та приватних виконавців з наступною п</w:t>
      </w:r>
      <w:r w:rsidR="00A9200F"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>овн</w:t>
      </w:r>
      <w:r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>ою</w:t>
      </w:r>
      <w:r w:rsidR="00A9200F"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 xml:space="preserve"> </w:t>
      </w:r>
      <w:r w:rsidR="00A9200F" w:rsidRPr="00AA1112">
        <w:rPr>
          <w:rFonts w:ascii="Arial" w:hAnsi="Arial" w:cs="Arial"/>
          <w:b/>
          <w:color w:val="000000" w:themeColor="text1"/>
          <w:sz w:val="21"/>
          <w:szCs w:val="21"/>
          <w:lang w:val="uk-UA"/>
        </w:rPr>
        <w:t>“приватизаці</w:t>
      </w:r>
      <w:r w:rsidRPr="00AA1112">
        <w:rPr>
          <w:rFonts w:ascii="Arial" w:hAnsi="Arial" w:cs="Arial"/>
          <w:b/>
          <w:color w:val="000000" w:themeColor="text1"/>
          <w:sz w:val="21"/>
          <w:szCs w:val="21"/>
          <w:lang w:val="uk-UA"/>
        </w:rPr>
        <w:t>єю</w:t>
      </w:r>
      <w:r w:rsidR="00A9200F" w:rsidRPr="00AA1112">
        <w:rPr>
          <w:rFonts w:ascii="Arial" w:hAnsi="Arial" w:cs="Arial"/>
          <w:b/>
          <w:color w:val="000000" w:themeColor="text1"/>
          <w:sz w:val="21"/>
          <w:szCs w:val="21"/>
          <w:lang w:val="uk-UA"/>
        </w:rPr>
        <w:t>”</w:t>
      </w:r>
      <w:r w:rsidR="00A9200F"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 xml:space="preserve"> професії  приватних виконавців; </w:t>
      </w:r>
    </w:p>
    <w:p w:rsidR="006623C9" w:rsidRPr="00AA1112" w:rsidRDefault="00A920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 xml:space="preserve">Повна </w:t>
      </w:r>
      <w:r w:rsidRPr="00AA1112">
        <w:rPr>
          <w:rFonts w:ascii="Arial" w:hAnsi="Arial" w:cs="Arial"/>
          <w:b/>
          <w:color w:val="000000" w:themeColor="text1"/>
          <w:sz w:val="21"/>
          <w:szCs w:val="21"/>
          <w:lang w:val="uk-UA"/>
        </w:rPr>
        <w:t>“приватизація”</w:t>
      </w:r>
      <w:r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 xml:space="preserve"> професії нотаріусів</w:t>
      </w:r>
      <w:r w:rsidR="00475007"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 xml:space="preserve"> із забезпеченням принципу безоплатної правової допомоги</w:t>
      </w:r>
      <w:r w:rsidRPr="00AA1112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>;</w:t>
      </w:r>
    </w:p>
    <w:p w:rsidR="000A1A49" w:rsidRPr="00AA1112" w:rsidRDefault="00CB50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Різне</w:t>
      </w:r>
      <w:r w:rsidR="000A1A49"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 регулювання правового статусу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державних службовців та приватних правових професій, </w:t>
      </w:r>
      <w:r w:rsidRPr="00AA1112">
        <w:rPr>
          <w:rFonts w:ascii="Arial" w:hAnsi="Arial" w:cs="Arial"/>
          <w:sz w:val="21"/>
          <w:szCs w:val="21"/>
          <w:lang w:val="uk-UA"/>
        </w:rPr>
        <w:t>що матиме своїм наслідком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різний обсяг прав, обов'язків та відповідальності; </w:t>
      </w:r>
      <w:r w:rsidR="000A1A49" w:rsidRPr="00AA1112">
        <w:rPr>
          <w:rFonts w:ascii="Arial" w:hAnsi="Arial" w:cs="Arial"/>
          <w:b/>
          <w:bCs/>
          <w:sz w:val="21"/>
          <w:szCs w:val="21"/>
          <w:lang w:val="uk-UA"/>
        </w:rPr>
        <w:t>зменшення ролі держави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у регулюванні приватних </w:t>
      </w:r>
      <w:r w:rsidRPr="00AA1112">
        <w:rPr>
          <w:rFonts w:ascii="Arial" w:hAnsi="Arial" w:cs="Arial"/>
          <w:sz w:val="21"/>
          <w:szCs w:val="21"/>
          <w:lang w:val="uk-UA"/>
        </w:rPr>
        <w:t>правових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професій шляхом </w:t>
      </w:r>
      <w:r w:rsidRPr="00AA1112">
        <w:rPr>
          <w:rFonts w:ascii="Arial" w:hAnsi="Arial" w:cs="Arial"/>
          <w:sz w:val="21"/>
          <w:szCs w:val="21"/>
          <w:lang w:val="uk-UA"/>
        </w:rPr>
        <w:t>розробки й затвердження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методології та процедури проведення </w:t>
      </w:r>
      <w:r w:rsidRPr="00AA1112">
        <w:rPr>
          <w:rFonts w:ascii="Arial" w:hAnsi="Arial" w:cs="Arial"/>
          <w:sz w:val="21"/>
          <w:szCs w:val="21"/>
          <w:lang w:val="uk-UA"/>
        </w:rPr>
        <w:t>планових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та </w:t>
      </w:r>
      <w:r w:rsidRPr="00AA1112">
        <w:rPr>
          <w:rFonts w:ascii="Arial" w:hAnsi="Arial" w:cs="Arial"/>
          <w:sz w:val="21"/>
          <w:szCs w:val="21"/>
          <w:lang w:val="uk-UA"/>
        </w:rPr>
        <w:t>позапланових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перевірок Міністерств</w:t>
      </w:r>
      <w:r w:rsidRPr="00AA1112">
        <w:rPr>
          <w:rFonts w:ascii="Arial" w:hAnsi="Arial" w:cs="Arial"/>
          <w:sz w:val="21"/>
          <w:szCs w:val="21"/>
          <w:lang w:val="uk-UA"/>
        </w:rPr>
        <w:t>ом</w:t>
      </w:r>
      <w:r w:rsidR="000A1A49" w:rsidRPr="00AA1112">
        <w:rPr>
          <w:rFonts w:ascii="Arial" w:hAnsi="Arial" w:cs="Arial"/>
          <w:sz w:val="21"/>
          <w:szCs w:val="21"/>
          <w:lang w:val="uk-UA"/>
        </w:rPr>
        <w:t xml:space="preserve"> юстиції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, а також </w:t>
      </w:r>
      <w:r w:rsidR="000A1A49" w:rsidRPr="00AA1112">
        <w:rPr>
          <w:rFonts w:ascii="Arial" w:hAnsi="Arial" w:cs="Arial"/>
          <w:sz w:val="21"/>
          <w:szCs w:val="21"/>
          <w:lang w:val="uk-UA"/>
        </w:rPr>
        <w:t>інших форм правового втручання;</w:t>
      </w:r>
    </w:p>
    <w:p w:rsidR="00CB509D" w:rsidRPr="00AA1112" w:rsidRDefault="00CB50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>Глибокий і всебічний аналіз законодавства щодо виконання судових рішень, у тому числі відповідних частин процесуальних кодексів, спрямовані на автоматизацію та спрощення виконавчого провадження, зокрема й проти держави</w:t>
      </w:r>
      <w:r w:rsidR="00921AFF" w:rsidRPr="00AA1112">
        <w:rPr>
          <w:rFonts w:ascii="Arial" w:hAnsi="Arial" w:cs="Arial"/>
          <w:sz w:val="21"/>
          <w:szCs w:val="21"/>
          <w:lang w:val="uk-UA"/>
        </w:rPr>
        <w:t>;</w:t>
      </w:r>
    </w:p>
    <w:p w:rsidR="006623C9" w:rsidRPr="00AA1112" w:rsidRDefault="00A920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Прозора та ефективна процедура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банкрутства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; </w:t>
      </w:r>
      <w:r w:rsidR="001F3FE1" w:rsidRPr="00AA1112">
        <w:rPr>
          <w:rFonts w:ascii="Arial" w:hAnsi="Arial" w:cs="Arial"/>
          <w:bCs/>
          <w:sz w:val="21"/>
          <w:szCs w:val="21"/>
          <w:lang w:val="uk-UA"/>
        </w:rPr>
        <w:t>забезпечення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свобод</w:t>
      </w:r>
      <w:r w:rsidR="001F3FE1" w:rsidRPr="00AA1112">
        <w:rPr>
          <w:rFonts w:ascii="Arial" w:hAnsi="Arial" w:cs="Arial"/>
          <w:bCs/>
          <w:sz w:val="21"/>
          <w:szCs w:val="21"/>
          <w:lang w:val="uk-UA"/>
        </w:rPr>
        <w:t>и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бізнесу </w:t>
      </w:r>
      <w:r w:rsidR="00BC6D93" w:rsidRPr="00AA1112">
        <w:rPr>
          <w:rFonts w:ascii="Arial" w:hAnsi="Arial" w:cs="Arial"/>
          <w:bCs/>
          <w:sz w:val="21"/>
          <w:szCs w:val="21"/>
          <w:lang w:val="uk-UA"/>
        </w:rPr>
        <w:t>шляхом більш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відповідальн</w:t>
      </w:r>
      <w:r w:rsidR="00BC6D93" w:rsidRPr="00AA1112">
        <w:rPr>
          <w:rFonts w:ascii="Arial" w:hAnsi="Arial" w:cs="Arial"/>
          <w:b/>
          <w:bCs/>
          <w:sz w:val="21"/>
          <w:szCs w:val="21"/>
          <w:lang w:val="uk-UA"/>
        </w:rPr>
        <w:t>ого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виконання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боргових зобов'язань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, у тому числі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державними компаніями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та іншими суб'єктами; </w:t>
      </w:r>
      <w:bookmarkStart w:id="0" w:name="_GoBack"/>
      <w:bookmarkEnd w:id="0"/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відсутність мораторію або дискримінації </w:t>
      </w:r>
      <w:r w:rsidRPr="00AA1112">
        <w:rPr>
          <w:rFonts w:ascii="Arial" w:hAnsi="Arial" w:cs="Arial"/>
          <w:bCs/>
          <w:sz w:val="21"/>
          <w:szCs w:val="21"/>
          <w:lang w:val="uk-UA"/>
        </w:rPr>
        <w:t>щодо будь-якого боргу;</w:t>
      </w:r>
    </w:p>
    <w:p w:rsidR="006623C9" w:rsidRPr="00AA1112" w:rsidRDefault="00A920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Сильне самоврядування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всіх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приватних юридичних професій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(виконавці, нотаріуси, арбітражні керуючі);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відсутність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надмірного </w:t>
      </w:r>
      <w:r w:rsidRPr="00AA1112">
        <w:rPr>
          <w:rFonts w:ascii="Arial" w:hAnsi="Arial" w:cs="Arial"/>
          <w:bCs/>
          <w:sz w:val="21"/>
          <w:szCs w:val="21"/>
          <w:lang w:val="uk-UA"/>
        </w:rPr>
        <w:t>контролю з боку Міністерства юстиції;</w:t>
      </w:r>
    </w:p>
    <w:p w:rsidR="006623C9" w:rsidRPr="00AA1112" w:rsidRDefault="00A920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Краще регулювання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банківських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та інших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фінансових послуг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, гармонізація підходу до ризиків та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запобігання</w:t>
      </w:r>
      <w:r w:rsidRPr="00AA1112">
        <w:rPr>
          <w:rFonts w:ascii="Arial" w:hAnsi="Arial" w:cs="Arial"/>
          <w:bCs/>
          <w:sz w:val="21"/>
          <w:szCs w:val="21"/>
          <w:lang w:val="uk-UA"/>
        </w:rPr>
        <w:t xml:space="preserve"> накопиченню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нестійких боргів</w:t>
      </w:r>
      <w:r w:rsidRPr="00AA1112">
        <w:rPr>
          <w:rFonts w:ascii="Arial" w:hAnsi="Arial" w:cs="Arial"/>
          <w:bCs/>
          <w:sz w:val="21"/>
          <w:szCs w:val="21"/>
          <w:lang w:val="uk-UA"/>
        </w:rPr>
        <w:t>;</w:t>
      </w:r>
    </w:p>
    <w:p w:rsidR="006623C9" w:rsidRPr="00AA1112" w:rsidRDefault="00A920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t>Спрощений і швидкий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 судовий процес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у всіх </w:t>
      </w:r>
      <w:r w:rsidR="00F91975" w:rsidRPr="00AA1112">
        <w:rPr>
          <w:rFonts w:ascii="Arial" w:eastAsia="NSimSun" w:hAnsi="Arial" w:cs="Arial"/>
          <w:sz w:val="21"/>
          <w:szCs w:val="21"/>
          <w:lang w:val="uk-UA"/>
        </w:rPr>
        <w:t>спорах,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пов'язаних з боргом, включаючи більш широке використання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платіжного доручення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>;</w:t>
      </w:r>
    </w:p>
    <w:p w:rsidR="006623C9" w:rsidRPr="00AA1112" w:rsidRDefault="00A920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Наявність відповідного правового регулювання та практичних заходів щодо забезпечення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якості та безпеки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даних </w:t>
      </w:r>
      <w:r w:rsidR="00997C95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державних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реєстрів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;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функціональна сумісність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основних реєстрів (реєстр юридичних осіб, фізичних осіб-підприємців, демографічний та адресний </w:t>
      </w:r>
      <w:r w:rsidRPr="00AA1112">
        <w:rPr>
          <w:rFonts w:ascii="Arial" w:eastAsia="NSimSun" w:hAnsi="Arial" w:cs="Arial"/>
          <w:color w:val="000000" w:themeColor="text1"/>
          <w:sz w:val="21"/>
          <w:szCs w:val="21"/>
          <w:lang w:val="uk-UA"/>
        </w:rPr>
        <w:t>реєстри</w:t>
      </w:r>
      <w:r w:rsidR="002D5485" w:rsidRPr="00AA1112">
        <w:rPr>
          <w:rFonts w:ascii="Arial" w:eastAsia="NSimSun" w:hAnsi="Arial" w:cs="Arial"/>
          <w:color w:val="000000" w:themeColor="text1"/>
          <w:sz w:val="21"/>
          <w:szCs w:val="21"/>
          <w:lang w:val="uk-UA"/>
        </w:rPr>
        <w:t>, реєстр прав власності</w:t>
      </w:r>
      <w:r w:rsidRPr="00AA1112">
        <w:rPr>
          <w:rFonts w:ascii="Arial" w:eastAsia="NSimSun" w:hAnsi="Arial" w:cs="Arial"/>
          <w:color w:val="000000" w:themeColor="text1"/>
          <w:sz w:val="21"/>
          <w:szCs w:val="21"/>
          <w:lang w:val="uk-UA"/>
        </w:rPr>
        <w:t xml:space="preserve">), 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автоматичне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блокування банківських рахунків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, прозора система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продажу активів</w:t>
      </w:r>
      <w:r w:rsidR="00280788" w:rsidRPr="00AA1112">
        <w:rPr>
          <w:rFonts w:ascii="Arial" w:eastAsia="NSimSun" w:hAnsi="Arial" w:cs="Arial"/>
          <w:sz w:val="21"/>
          <w:szCs w:val="21"/>
          <w:lang w:val="uk-UA"/>
        </w:rPr>
        <w:t xml:space="preserve">, а також 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>використання інших електронних інструментів для забезпечення відповідального виконання боргових зобов'язань.</w:t>
      </w:r>
    </w:p>
    <w:p w:rsidR="006623C9" w:rsidRPr="00AA1112" w:rsidRDefault="006623C9">
      <w:pPr>
        <w:jc w:val="both"/>
        <w:rPr>
          <w:rFonts w:ascii="Arial" w:eastAsia="NSimSun" w:hAnsi="Arial" w:cs="Arial"/>
          <w:sz w:val="21"/>
          <w:szCs w:val="21"/>
          <w:lang w:val="uk-UA"/>
        </w:rPr>
      </w:pPr>
    </w:p>
    <w:p w:rsidR="006623C9" w:rsidRPr="00AA1112" w:rsidRDefault="00A9200F">
      <w:p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III. Судоустрій та адвокатура</w:t>
      </w:r>
    </w:p>
    <w:p w:rsidR="006623C9" w:rsidRPr="00AA1112" w:rsidRDefault="00CB50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t>Подальший розвиток системи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 судового </w:t>
      </w:r>
      <w:r w:rsidR="007F09A1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само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врядування</w:t>
      </w:r>
      <w:r w:rsidR="007F09A1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, </w:t>
      </w:r>
      <w:r w:rsidR="007F09A1" w:rsidRPr="00AA1112">
        <w:rPr>
          <w:rFonts w:ascii="Arial" w:eastAsia="NSimSun" w:hAnsi="Arial" w:cs="Arial"/>
          <w:sz w:val="21"/>
          <w:szCs w:val="21"/>
          <w:lang w:val="uk-UA"/>
        </w:rPr>
        <w:t xml:space="preserve">спрямований на забезпечення участі судових інституцій в 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розробці та реалізації </w:t>
      </w:r>
      <w:r w:rsidR="00A9200F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практичних та ефективних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 </w:t>
      </w:r>
      <w:r w:rsidR="00A9200F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системних стратегі</w:t>
      </w:r>
      <w:r w:rsidR="00997C95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ч</w:t>
      </w:r>
      <w:r w:rsidR="00A9200F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них цілей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 судової влади (захист </w:t>
      </w:r>
      <w:r w:rsidR="009C0E0D" w:rsidRPr="00AA1112">
        <w:rPr>
          <w:rFonts w:ascii="Arial" w:eastAsia="NSimSun" w:hAnsi="Arial" w:cs="Arial"/>
          <w:sz w:val="21"/>
          <w:szCs w:val="21"/>
          <w:lang w:val="uk-UA"/>
        </w:rPr>
        <w:t>права власності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 та інших прав</w:t>
      </w:r>
      <w:r w:rsidR="009C0E0D" w:rsidRPr="00AA1112">
        <w:rPr>
          <w:rFonts w:ascii="Arial" w:eastAsia="NSimSun" w:hAnsi="Arial" w:cs="Arial"/>
          <w:sz w:val="21"/>
          <w:szCs w:val="21"/>
          <w:lang w:val="uk-UA"/>
        </w:rPr>
        <w:t xml:space="preserve"> людини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, орієнтації судів на надання послуг), </w:t>
      </w:r>
      <w:r w:rsidR="00325477" w:rsidRPr="00AA1112">
        <w:rPr>
          <w:rFonts w:ascii="Arial" w:eastAsia="NSimSun" w:hAnsi="Arial" w:cs="Arial"/>
          <w:sz w:val="21"/>
          <w:szCs w:val="21"/>
          <w:lang w:val="uk-UA"/>
        </w:rPr>
        <w:t>а також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 індивідуальних заходів</w:t>
      </w:r>
      <w:r w:rsidR="00130D4C" w:rsidRPr="00AA1112">
        <w:rPr>
          <w:rFonts w:ascii="Arial" w:eastAsia="NSimSun" w:hAnsi="Arial" w:cs="Arial"/>
          <w:sz w:val="21"/>
          <w:szCs w:val="21"/>
          <w:lang w:val="uk-UA"/>
        </w:rPr>
        <w:t>,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 що стосуються суддів (</w:t>
      </w:r>
      <w:r w:rsidR="00130D4C" w:rsidRPr="00AA1112">
        <w:rPr>
          <w:rFonts w:ascii="Arial" w:eastAsia="NSimSun" w:hAnsi="Arial" w:cs="Arial"/>
          <w:sz w:val="21"/>
          <w:szCs w:val="21"/>
          <w:lang w:val="uk-UA"/>
        </w:rPr>
        <w:t>добір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 та </w:t>
      </w:r>
      <w:r w:rsidR="00130D4C" w:rsidRPr="00AA1112">
        <w:rPr>
          <w:rFonts w:ascii="Arial" w:eastAsia="NSimSun" w:hAnsi="Arial" w:cs="Arial"/>
          <w:sz w:val="21"/>
          <w:szCs w:val="21"/>
          <w:lang w:val="uk-UA"/>
        </w:rPr>
        <w:t>оцінювання суддів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>, дисциплінарна відповідальність тощо);</w:t>
      </w:r>
    </w:p>
    <w:p w:rsidR="006623C9" w:rsidRPr="00AA1112" w:rsidRDefault="00A920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Система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бюджетування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судових органів повинна базуватися на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продуктивності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>, а не на витратах;</w:t>
      </w:r>
    </w:p>
    <w:p w:rsidR="006623C9" w:rsidRPr="00AA1112" w:rsidRDefault="009C0E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Попередження тривалого існування незаповнених судових вакансій в судах шляхом, серед іншого, 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призначення </w:t>
      </w:r>
      <w:r w:rsidR="00A9200F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нових 700 суддів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 xml:space="preserve">, відібраних за останні 2 роки, і якнайшвидше їх розміщення в </w:t>
      </w:r>
      <w:r w:rsidR="00A9200F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судах першої інстанції</w:t>
      </w:r>
      <w:r w:rsidR="00A9200F" w:rsidRPr="00AA1112">
        <w:rPr>
          <w:rFonts w:ascii="Arial" w:eastAsia="NSimSun" w:hAnsi="Arial" w:cs="Arial"/>
          <w:sz w:val="21"/>
          <w:szCs w:val="21"/>
          <w:lang w:val="uk-UA"/>
        </w:rPr>
        <w:t>;</w:t>
      </w:r>
    </w:p>
    <w:p w:rsidR="008A58F9" w:rsidRPr="00AA1112" w:rsidRDefault="008A58F9" w:rsidP="00FB00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Продовження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, з урахуванням необхідного критерію якості, процесу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кваліфікаційного оцінювання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суддів та детальне інформування суспільства про його результати;</w:t>
      </w:r>
    </w:p>
    <w:p w:rsidR="006623C9" w:rsidRPr="00AA1112" w:rsidRDefault="00A9200F" w:rsidP="008A58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lastRenderedPageBreak/>
        <w:t>Підтримка та оптимізація ролі Громадської ради доброчесності (ГРД) у відборі суддів та її взаємовідносинах з іншими органами судової влади</w:t>
      </w:r>
      <w:r w:rsidR="008C5827" w:rsidRPr="00AA1112">
        <w:rPr>
          <w:rFonts w:ascii="Arial" w:eastAsia="NSimSun" w:hAnsi="Arial" w:cs="Arial"/>
          <w:sz w:val="21"/>
          <w:szCs w:val="21"/>
          <w:lang w:val="uk-UA"/>
        </w:rPr>
        <w:t>;</w:t>
      </w:r>
    </w:p>
    <w:p w:rsidR="006623C9" w:rsidRPr="00AA1112" w:rsidRDefault="00A920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Використання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судової практики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та підзаконних нормативно-правових актів як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пріоритетн</w:t>
      </w:r>
      <w:r w:rsidR="006B252F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их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інструмент</w:t>
      </w:r>
      <w:r w:rsidR="006B252F" w:rsidRPr="00AA1112">
        <w:rPr>
          <w:rFonts w:ascii="Arial" w:eastAsia="NSimSun" w:hAnsi="Arial" w:cs="Arial"/>
          <w:sz w:val="21"/>
          <w:szCs w:val="21"/>
          <w:lang w:val="uk-UA"/>
        </w:rPr>
        <w:t>ів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для врегулювання прогалин у процесуальному </w:t>
      </w:r>
      <w:r w:rsidR="006B252F" w:rsidRPr="00AA1112">
        <w:rPr>
          <w:rFonts w:ascii="Arial" w:eastAsia="NSimSun" w:hAnsi="Arial" w:cs="Arial"/>
          <w:sz w:val="21"/>
          <w:szCs w:val="21"/>
          <w:lang w:val="uk-UA"/>
        </w:rPr>
        <w:t>законодавстві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>;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 </w:t>
      </w:r>
      <w:r w:rsidR="006B252F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обмеження існуючої практики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частої  зміни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процесуального закону;</w:t>
      </w:r>
    </w:p>
    <w:p w:rsidR="00986EA8" w:rsidRPr="00AA1112" w:rsidRDefault="0003727C" w:rsidP="00986E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Підвищення ефективності Єдиного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державного реєстру судових рішень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</w:t>
      </w:r>
      <w:r w:rsidR="00986EA8" w:rsidRPr="00AA1112">
        <w:rPr>
          <w:rFonts w:ascii="Arial" w:eastAsia="NSimSun" w:hAnsi="Arial" w:cs="Arial"/>
          <w:sz w:val="21"/>
          <w:szCs w:val="21"/>
          <w:lang w:val="uk-UA"/>
        </w:rPr>
        <w:t>та його зручність в користуванні, а також його взаємозв’язок/об’єднання з іншими ключовими реєстрами (реєстром виконавчих проваджень, виконавчих документів тощо)</w:t>
      </w:r>
      <w:r w:rsidR="00D53DBD" w:rsidRPr="00AA1112">
        <w:rPr>
          <w:rFonts w:ascii="Arial" w:eastAsia="NSimSun" w:hAnsi="Arial" w:cs="Arial"/>
          <w:sz w:val="21"/>
          <w:szCs w:val="21"/>
          <w:lang w:val="uk-UA"/>
        </w:rPr>
        <w:t>;</w:t>
      </w:r>
    </w:p>
    <w:p w:rsidR="006623C9" w:rsidRPr="00AA1112" w:rsidRDefault="00A9200F" w:rsidP="00986E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Дозволити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Верховному Суду 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виконувати свою 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головну роль</w:t>
      </w:r>
      <w:r w:rsidR="00D53DBD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, </w:t>
      </w:r>
      <w:r w:rsidR="00D53DBD" w:rsidRPr="00AA1112">
        <w:rPr>
          <w:rFonts w:ascii="Arial" w:eastAsia="NSimSun" w:hAnsi="Arial" w:cs="Arial"/>
          <w:sz w:val="21"/>
          <w:szCs w:val="21"/>
          <w:lang w:val="uk-UA"/>
        </w:rPr>
        <w:t>яка полягає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</w:t>
      </w:r>
      <w:r w:rsidR="00D53DBD" w:rsidRPr="00AA1112">
        <w:rPr>
          <w:rFonts w:ascii="Arial" w:eastAsia="NSimSun" w:hAnsi="Arial" w:cs="Arial"/>
          <w:sz w:val="21"/>
          <w:szCs w:val="21"/>
          <w:lang w:val="uk-UA"/>
        </w:rPr>
        <w:t>в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 забезпеченні </w:t>
      </w:r>
      <w:r w:rsidR="00C17EE2"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>єдності</w:t>
      </w:r>
      <w:r w:rsidRPr="00AA1112">
        <w:rPr>
          <w:rFonts w:ascii="Arial" w:eastAsia="NSimSun" w:hAnsi="Arial" w:cs="Arial"/>
          <w:b/>
          <w:bCs/>
          <w:sz w:val="21"/>
          <w:szCs w:val="21"/>
          <w:lang w:val="uk-UA"/>
        </w:rPr>
        <w:t xml:space="preserve"> судової практики,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шляхом створення суттєвих формальних та практичних процесуальних </w:t>
      </w:r>
      <w:r w:rsidR="008C5827" w:rsidRPr="00AA1112">
        <w:rPr>
          <w:rFonts w:ascii="Arial" w:eastAsia="NSimSun" w:hAnsi="Arial" w:cs="Arial"/>
          <w:sz w:val="21"/>
          <w:szCs w:val="21"/>
          <w:lang w:val="uk-UA"/>
        </w:rPr>
        <w:t>фільтрів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</w:t>
      </w:r>
      <w:r w:rsidR="008C5827" w:rsidRPr="00AA1112">
        <w:rPr>
          <w:rFonts w:ascii="Arial" w:eastAsia="NSimSun" w:hAnsi="Arial" w:cs="Arial"/>
          <w:sz w:val="21"/>
          <w:szCs w:val="21"/>
          <w:lang w:val="uk-UA"/>
        </w:rPr>
        <w:t>щодо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касаційн</w:t>
      </w:r>
      <w:r w:rsidR="008C5827" w:rsidRPr="00AA1112">
        <w:rPr>
          <w:rFonts w:ascii="Arial" w:eastAsia="NSimSun" w:hAnsi="Arial" w:cs="Arial"/>
          <w:sz w:val="21"/>
          <w:szCs w:val="21"/>
          <w:lang w:val="uk-UA"/>
        </w:rPr>
        <w:t>их</w:t>
      </w:r>
      <w:r w:rsidRPr="00AA1112">
        <w:rPr>
          <w:rFonts w:ascii="Arial" w:eastAsia="NSimSun" w:hAnsi="Arial" w:cs="Arial"/>
          <w:sz w:val="21"/>
          <w:szCs w:val="21"/>
          <w:lang w:val="uk-UA"/>
        </w:rPr>
        <w:t xml:space="preserve"> скарг;</w:t>
      </w:r>
    </w:p>
    <w:p w:rsidR="00C7750B" w:rsidRPr="00AA1112" w:rsidRDefault="00C7750B" w:rsidP="00C775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>Підвищити якість досудового та судового проваджень</w:t>
      </w:r>
      <w:r w:rsidR="00FE7B65" w:rsidRPr="00AA1112">
        <w:rPr>
          <w:rFonts w:ascii="Arial" w:hAnsi="Arial" w:cs="Arial"/>
          <w:sz w:val="21"/>
          <w:szCs w:val="21"/>
          <w:lang w:val="uk-UA"/>
        </w:rPr>
        <w:t xml:space="preserve"> шляхом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скасу</w:t>
      </w:r>
      <w:r w:rsidR="00FE7B65" w:rsidRPr="00AA1112">
        <w:rPr>
          <w:rFonts w:ascii="Arial" w:hAnsi="Arial" w:cs="Arial"/>
          <w:b/>
          <w:bCs/>
          <w:sz w:val="21"/>
          <w:szCs w:val="21"/>
          <w:lang w:val="uk-UA"/>
        </w:rPr>
        <w:t>вання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 можлив</w:t>
      </w:r>
      <w:r w:rsidR="00FE7B65" w:rsidRPr="00AA1112">
        <w:rPr>
          <w:rFonts w:ascii="Arial" w:hAnsi="Arial" w:cs="Arial"/>
          <w:b/>
          <w:bCs/>
          <w:sz w:val="21"/>
          <w:szCs w:val="21"/>
          <w:lang w:val="uk-UA"/>
        </w:rPr>
        <w:t>ості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 повернення справи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до правоохоронних органів або судів нижчої інстанції для нового розгляду;</w:t>
      </w:r>
    </w:p>
    <w:p w:rsidR="00C7750B" w:rsidRPr="00AA1112" w:rsidRDefault="00334207" w:rsidP="00C775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>Вдосконалення</w:t>
      </w:r>
      <w:r w:rsidR="00C7750B" w:rsidRPr="00AA1112">
        <w:rPr>
          <w:rFonts w:ascii="Arial" w:hAnsi="Arial" w:cs="Arial"/>
          <w:sz w:val="21"/>
          <w:szCs w:val="21"/>
          <w:lang w:val="uk-UA"/>
        </w:rPr>
        <w:t xml:space="preserve"> правового статусу адвокатів, </w:t>
      </w:r>
      <w:r w:rsidR="00C7750B"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забезпечення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їх </w:t>
      </w:r>
      <w:r w:rsidR="00C7750B" w:rsidRPr="00AA1112">
        <w:rPr>
          <w:rFonts w:ascii="Arial" w:hAnsi="Arial" w:cs="Arial"/>
          <w:b/>
          <w:bCs/>
          <w:sz w:val="21"/>
          <w:szCs w:val="21"/>
          <w:lang w:val="uk-UA"/>
        </w:rPr>
        <w:t>внутрішн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ьої</w:t>
      </w:r>
      <w:r w:rsidR="00C7750B"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та</w:t>
      </w:r>
      <w:r w:rsidR="00C7750B"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 зовніш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ньої незалежності</w:t>
      </w:r>
      <w:r w:rsidR="00C7750B" w:rsidRPr="00AA1112">
        <w:rPr>
          <w:rFonts w:ascii="Arial" w:hAnsi="Arial" w:cs="Arial"/>
          <w:b/>
          <w:bCs/>
          <w:sz w:val="21"/>
          <w:szCs w:val="21"/>
          <w:lang w:val="uk-UA"/>
        </w:rPr>
        <w:t>,</w:t>
      </w:r>
      <w:r w:rsidR="00C7750B" w:rsidRPr="00AA1112">
        <w:rPr>
          <w:rFonts w:ascii="Arial" w:hAnsi="Arial" w:cs="Arial"/>
          <w:sz w:val="21"/>
          <w:szCs w:val="21"/>
          <w:lang w:val="uk-UA"/>
        </w:rPr>
        <w:t xml:space="preserve"> створення відповідальних і прозорих систем самоврядування та бюджетування;</w:t>
      </w:r>
    </w:p>
    <w:p w:rsidR="006623C9" w:rsidRPr="00AA1112" w:rsidRDefault="00031B45" w:rsidP="002D37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>Підвищен</w:t>
      </w:r>
      <w:r w:rsidR="005A2E6E" w:rsidRPr="00AA1112">
        <w:rPr>
          <w:rFonts w:ascii="Arial" w:hAnsi="Arial" w:cs="Arial"/>
          <w:sz w:val="21"/>
          <w:szCs w:val="21"/>
          <w:lang w:val="uk-UA"/>
        </w:rPr>
        <w:t>н</w:t>
      </w:r>
      <w:r w:rsidRPr="00AA1112">
        <w:rPr>
          <w:rFonts w:ascii="Arial" w:hAnsi="Arial" w:cs="Arial"/>
          <w:sz w:val="21"/>
          <w:szCs w:val="21"/>
          <w:lang w:val="uk-UA"/>
        </w:rPr>
        <w:t>я</w:t>
      </w:r>
      <w:r w:rsidR="00C7750B" w:rsidRPr="00AA1112">
        <w:rPr>
          <w:rFonts w:ascii="Arial" w:hAnsi="Arial" w:cs="Arial"/>
          <w:sz w:val="21"/>
          <w:szCs w:val="21"/>
          <w:lang w:val="uk-UA"/>
        </w:rPr>
        <w:t xml:space="preserve"> безпеки </w:t>
      </w:r>
      <w:r w:rsidR="005A2E6E" w:rsidRPr="00AA1112">
        <w:rPr>
          <w:rFonts w:ascii="Arial" w:hAnsi="Arial" w:cs="Arial"/>
          <w:sz w:val="21"/>
          <w:szCs w:val="21"/>
          <w:lang w:val="uk-UA"/>
        </w:rPr>
        <w:t xml:space="preserve">судів </w:t>
      </w:r>
      <w:r w:rsidR="00C7750B" w:rsidRPr="00AA1112">
        <w:rPr>
          <w:rFonts w:ascii="Arial" w:hAnsi="Arial" w:cs="Arial"/>
          <w:sz w:val="21"/>
          <w:szCs w:val="21"/>
          <w:lang w:val="uk-UA"/>
        </w:rPr>
        <w:t xml:space="preserve">та ефективності </w:t>
      </w:r>
      <w:r w:rsidR="008A3305" w:rsidRPr="00AA1112">
        <w:rPr>
          <w:rFonts w:ascii="Arial" w:hAnsi="Arial" w:cs="Arial"/>
          <w:sz w:val="21"/>
          <w:szCs w:val="21"/>
          <w:lang w:val="uk-UA"/>
        </w:rPr>
        <w:t xml:space="preserve">судового адміністрування </w:t>
      </w:r>
      <w:r w:rsidR="00C7750B" w:rsidRPr="00AA1112">
        <w:rPr>
          <w:rFonts w:ascii="Arial" w:hAnsi="Arial" w:cs="Arial"/>
          <w:sz w:val="21"/>
          <w:szCs w:val="21"/>
          <w:lang w:val="uk-UA"/>
        </w:rPr>
        <w:t xml:space="preserve">шляхом створення судової поліції та підтримки </w:t>
      </w:r>
      <w:r w:rsidR="002D374E" w:rsidRPr="00AA1112">
        <w:rPr>
          <w:rFonts w:ascii="Arial" w:hAnsi="Arial" w:cs="Arial"/>
          <w:sz w:val="21"/>
          <w:szCs w:val="21"/>
          <w:lang w:val="uk-UA"/>
        </w:rPr>
        <w:t>модельних судів.</w:t>
      </w:r>
    </w:p>
    <w:p w:rsidR="002D374E" w:rsidRPr="00AA1112" w:rsidRDefault="002D374E" w:rsidP="002D374E">
      <w:pPr>
        <w:pStyle w:val="ListParagraph"/>
        <w:jc w:val="both"/>
        <w:rPr>
          <w:rFonts w:ascii="Arial" w:hAnsi="Arial" w:cs="Arial"/>
          <w:sz w:val="21"/>
          <w:szCs w:val="21"/>
          <w:lang w:val="uk-UA"/>
        </w:rPr>
      </w:pPr>
    </w:p>
    <w:p w:rsidR="006623C9" w:rsidRPr="00AA1112" w:rsidRDefault="00A9200F">
      <w:p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sz w:val="21"/>
          <w:szCs w:val="21"/>
          <w:lang w:val="uk-UA"/>
        </w:rPr>
        <w:t>IV.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Орієнтація органів юстиції на потреби користувачів та надання послуг </w:t>
      </w:r>
    </w:p>
    <w:p w:rsidR="002D374E" w:rsidRPr="00AA1112" w:rsidRDefault="002D374E" w:rsidP="0009255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 xml:space="preserve">Впровадження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ефективної системи управління персоналом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у сфері юстиції та державній службі загалом (підбір, заохочення, впровадження більш різноманітних методів впливу</w:t>
      </w:r>
      <w:r w:rsidR="000E606E" w:rsidRPr="00AA1112">
        <w:rPr>
          <w:rFonts w:ascii="Arial" w:hAnsi="Arial" w:cs="Arial"/>
          <w:sz w:val="21"/>
          <w:szCs w:val="21"/>
          <w:lang w:val="uk-UA"/>
        </w:rPr>
        <w:t xml:space="preserve">, аніж </w:t>
      </w:r>
      <w:r w:rsidRPr="00AA1112">
        <w:rPr>
          <w:rFonts w:ascii="Arial" w:hAnsi="Arial" w:cs="Arial"/>
          <w:sz w:val="21"/>
          <w:szCs w:val="21"/>
          <w:lang w:val="uk-UA"/>
        </w:rPr>
        <w:t>покарання);</w:t>
      </w:r>
    </w:p>
    <w:p w:rsidR="002D374E" w:rsidRPr="00AA1112" w:rsidRDefault="00586F42" w:rsidP="0009255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>П</w:t>
      </w:r>
      <w:r w:rsidR="002D374E" w:rsidRPr="00AA1112">
        <w:rPr>
          <w:rFonts w:ascii="Arial" w:hAnsi="Arial" w:cs="Arial"/>
          <w:sz w:val="21"/>
          <w:szCs w:val="21"/>
          <w:lang w:val="uk-UA"/>
        </w:rPr>
        <w:t xml:space="preserve">ідготовка та прийняття </w:t>
      </w:r>
      <w:r w:rsidR="002D374E" w:rsidRPr="00AA1112">
        <w:rPr>
          <w:rFonts w:ascii="Arial" w:hAnsi="Arial" w:cs="Arial"/>
          <w:b/>
          <w:bCs/>
          <w:sz w:val="21"/>
          <w:szCs w:val="21"/>
          <w:lang w:val="uk-UA"/>
        </w:rPr>
        <w:t>закону про адміністративн</w:t>
      </w:r>
      <w:r w:rsidR="000E606E" w:rsidRPr="00AA1112">
        <w:rPr>
          <w:rFonts w:ascii="Arial" w:hAnsi="Arial" w:cs="Arial"/>
          <w:b/>
          <w:bCs/>
          <w:sz w:val="21"/>
          <w:szCs w:val="21"/>
          <w:lang w:val="uk-UA"/>
        </w:rPr>
        <w:t>і</w:t>
      </w:r>
      <w:r w:rsidR="002D374E"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 процедур</w:t>
      </w:r>
      <w:r w:rsidR="000E606E" w:rsidRPr="00AA1112">
        <w:rPr>
          <w:rFonts w:ascii="Arial" w:hAnsi="Arial" w:cs="Arial"/>
          <w:b/>
          <w:bCs/>
          <w:sz w:val="21"/>
          <w:szCs w:val="21"/>
          <w:lang w:val="uk-UA"/>
        </w:rPr>
        <w:t>и</w:t>
      </w:r>
      <w:r w:rsidR="002D374E" w:rsidRPr="00AA1112">
        <w:rPr>
          <w:rFonts w:ascii="Arial" w:hAnsi="Arial" w:cs="Arial"/>
          <w:sz w:val="21"/>
          <w:szCs w:val="21"/>
          <w:lang w:val="uk-UA"/>
        </w:rPr>
        <w:t xml:space="preserve">, </w:t>
      </w:r>
      <w:r w:rsidR="000E606E" w:rsidRPr="00AA1112">
        <w:rPr>
          <w:rFonts w:ascii="Arial" w:hAnsi="Arial" w:cs="Arial"/>
          <w:sz w:val="21"/>
          <w:szCs w:val="21"/>
          <w:lang w:val="uk-UA"/>
        </w:rPr>
        <w:t>який би</w:t>
      </w:r>
      <w:r w:rsidR="002D374E" w:rsidRPr="00AA1112">
        <w:rPr>
          <w:rFonts w:ascii="Arial" w:hAnsi="Arial" w:cs="Arial"/>
          <w:sz w:val="21"/>
          <w:szCs w:val="21"/>
          <w:lang w:val="uk-UA"/>
        </w:rPr>
        <w:t xml:space="preserve"> орієнту</w:t>
      </w:r>
      <w:r w:rsidR="000E606E" w:rsidRPr="00AA1112">
        <w:rPr>
          <w:rFonts w:ascii="Arial" w:hAnsi="Arial" w:cs="Arial"/>
          <w:sz w:val="21"/>
          <w:szCs w:val="21"/>
          <w:lang w:val="uk-UA"/>
        </w:rPr>
        <w:t>вав</w:t>
      </w:r>
      <w:r w:rsidR="002D374E" w:rsidRPr="00AA1112">
        <w:rPr>
          <w:rFonts w:ascii="Arial" w:hAnsi="Arial" w:cs="Arial"/>
          <w:sz w:val="21"/>
          <w:szCs w:val="21"/>
          <w:lang w:val="uk-UA"/>
        </w:rPr>
        <w:t xml:space="preserve"> державні органи на оперативне та ефективне надання послуг;</w:t>
      </w:r>
    </w:p>
    <w:p w:rsidR="002D374E" w:rsidRPr="00AA1112" w:rsidRDefault="002D374E" w:rsidP="0009255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>Подальш</w:t>
      </w:r>
      <w:r w:rsidR="000E606E" w:rsidRPr="00AA1112">
        <w:rPr>
          <w:rFonts w:ascii="Arial" w:hAnsi="Arial" w:cs="Arial"/>
          <w:sz w:val="21"/>
          <w:szCs w:val="21"/>
          <w:lang w:val="uk-UA"/>
        </w:rPr>
        <w:t xml:space="preserve">е впровадження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сучасних методів комунікації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в судовій системі, введення </w:t>
      </w:r>
      <w:r w:rsidR="002E6E98" w:rsidRPr="00AA1112">
        <w:rPr>
          <w:rFonts w:ascii="Arial" w:hAnsi="Arial" w:cs="Arial"/>
          <w:sz w:val="21"/>
          <w:szCs w:val="21"/>
          <w:lang w:val="uk-UA"/>
        </w:rPr>
        <w:t xml:space="preserve">посади </w:t>
      </w:r>
      <w:r w:rsidRPr="00AA1112">
        <w:rPr>
          <w:rFonts w:ascii="Arial" w:hAnsi="Arial" w:cs="Arial"/>
          <w:sz w:val="21"/>
          <w:szCs w:val="21"/>
          <w:lang w:val="uk-UA"/>
        </w:rPr>
        <w:t>прес-секретаря в суд</w:t>
      </w:r>
      <w:r w:rsidR="002E6E98" w:rsidRPr="00AA1112">
        <w:rPr>
          <w:rFonts w:ascii="Arial" w:hAnsi="Arial" w:cs="Arial"/>
          <w:sz w:val="21"/>
          <w:szCs w:val="21"/>
          <w:lang w:val="uk-UA"/>
        </w:rPr>
        <w:t>ах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всіх рівнів та юрисдикцій;</w:t>
      </w:r>
    </w:p>
    <w:p w:rsidR="006623C9" w:rsidRPr="00AA1112" w:rsidRDefault="00092558" w:rsidP="0009255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Передання</w:t>
      </w:r>
      <w:r w:rsidR="002D374E"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 деяких незначних категорій справ</w:t>
      </w:r>
      <w:r w:rsidR="002D374E" w:rsidRPr="00AA1112">
        <w:rPr>
          <w:rFonts w:ascii="Arial" w:hAnsi="Arial" w:cs="Arial"/>
          <w:sz w:val="21"/>
          <w:szCs w:val="21"/>
          <w:lang w:val="uk-UA"/>
        </w:rPr>
        <w:t xml:space="preserve"> 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на розгляд </w:t>
      </w:r>
      <w:r w:rsidR="002D374E" w:rsidRPr="00AA1112">
        <w:rPr>
          <w:rFonts w:ascii="Arial" w:hAnsi="Arial" w:cs="Arial"/>
          <w:sz w:val="21"/>
          <w:szCs w:val="21"/>
          <w:lang w:val="uk-UA"/>
        </w:rPr>
        <w:t>до нотаріусів, поліції та інших установ.</w:t>
      </w:r>
    </w:p>
    <w:p w:rsidR="006623C9" w:rsidRPr="00AA1112" w:rsidRDefault="006623C9">
      <w:pPr>
        <w:jc w:val="both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6623C9" w:rsidRPr="00AA1112" w:rsidRDefault="00A9200F">
      <w:pPr>
        <w:jc w:val="both"/>
        <w:rPr>
          <w:rFonts w:ascii="Arial" w:hAnsi="Arial" w:cs="Arial"/>
          <w:b/>
          <w:bCs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V. Правосуддя для громадян окупованих територій </w:t>
      </w:r>
    </w:p>
    <w:p w:rsidR="00092558" w:rsidRPr="00AA1112" w:rsidRDefault="00131CC5" w:rsidP="0092024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Вдосконалення законодавства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щодо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розгляду справ, пов’язаних з </w:t>
      </w:r>
      <w:r w:rsidR="00092558" w:rsidRPr="00AA1112">
        <w:rPr>
          <w:rFonts w:ascii="Arial" w:hAnsi="Arial" w:cs="Arial"/>
          <w:sz w:val="21"/>
          <w:szCs w:val="21"/>
          <w:lang w:val="uk-UA"/>
        </w:rPr>
        <w:t>окуповани</w:t>
      </w:r>
      <w:r w:rsidRPr="00AA1112">
        <w:rPr>
          <w:rFonts w:ascii="Arial" w:hAnsi="Arial" w:cs="Arial"/>
          <w:sz w:val="21"/>
          <w:szCs w:val="21"/>
          <w:lang w:val="uk-UA"/>
        </w:rPr>
        <w:t>ми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територі</w:t>
      </w:r>
      <w:r w:rsidRPr="00AA1112">
        <w:rPr>
          <w:rFonts w:ascii="Arial" w:hAnsi="Arial" w:cs="Arial"/>
          <w:sz w:val="21"/>
          <w:szCs w:val="21"/>
          <w:lang w:val="uk-UA"/>
        </w:rPr>
        <w:t>ями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Криму та Донецької / Луганської областей (</w:t>
      </w:r>
      <w:r w:rsidR="00ED3099" w:rsidRPr="00AA1112">
        <w:rPr>
          <w:rFonts w:ascii="Arial" w:hAnsi="Arial" w:cs="Arial"/>
          <w:sz w:val="21"/>
          <w:szCs w:val="21"/>
          <w:lang w:val="uk-UA"/>
        </w:rPr>
        <w:t>усунення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проце</w:t>
      </w:r>
      <w:r w:rsidR="00586F42" w:rsidRPr="00AA1112">
        <w:rPr>
          <w:rFonts w:ascii="Arial" w:hAnsi="Arial" w:cs="Arial"/>
          <w:sz w:val="21"/>
          <w:szCs w:val="21"/>
          <w:lang w:val="uk-UA"/>
        </w:rPr>
        <w:t>суальних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перешкод, </w:t>
      </w:r>
      <w:r w:rsidR="00ED3099" w:rsidRPr="00AA1112">
        <w:rPr>
          <w:rFonts w:ascii="Arial" w:hAnsi="Arial" w:cs="Arial"/>
          <w:sz w:val="21"/>
          <w:szCs w:val="21"/>
          <w:lang w:val="uk-UA"/>
        </w:rPr>
        <w:t xml:space="preserve">відновлення </w:t>
      </w:r>
      <w:r w:rsidR="00092558" w:rsidRPr="00AA1112">
        <w:rPr>
          <w:rFonts w:ascii="Arial" w:hAnsi="Arial" w:cs="Arial"/>
          <w:sz w:val="21"/>
          <w:szCs w:val="21"/>
          <w:lang w:val="uk-UA"/>
        </w:rPr>
        <w:t>втрачених матеріалів справи тощо);</w:t>
      </w:r>
    </w:p>
    <w:p w:rsidR="00092558" w:rsidRPr="00AA1112" w:rsidRDefault="00586F42" w:rsidP="0092024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П</w:t>
      </w:r>
      <w:r w:rsidR="00092558" w:rsidRPr="00AA1112">
        <w:rPr>
          <w:rFonts w:ascii="Arial" w:hAnsi="Arial" w:cs="Arial"/>
          <w:b/>
          <w:bCs/>
          <w:sz w:val="21"/>
          <w:szCs w:val="21"/>
          <w:lang w:val="uk-UA"/>
        </w:rPr>
        <w:t>ідвищення обізнаності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та підготовк</w:t>
      </w:r>
      <w:r w:rsidR="00ED3099" w:rsidRPr="00AA1112">
        <w:rPr>
          <w:rFonts w:ascii="Arial" w:hAnsi="Arial" w:cs="Arial"/>
          <w:sz w:val="21"/>
          <w:szCs w:val="21"/>
          <w:lang w:val="uk-UA"/>
        </w:rPr>
        <w:t>а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суд</w:t>
      </w:r>
      <w:r w:rsidR="00ED3099" w:rsidRPr="00AA1112">
        <w:rPr>
          <w:rFonts w:ascii="Arial" w:hAnsi="Arial" w:cs="Arial"/>
          <w:sz w:val="21"/>
          <w:szCs w:val="21"/>
          <w:lang w:val="uk-UA"/>
        </w:rPr>
        <w:t>д</w:t>
      </w:r>
      <w:r w:rsidR="00092558" w:rsidRPr="00AA1112">
        <w:rPr>
          <w:rFonts w:ascii="Arial" w:hAnsi="Arial" w:cs="Arial"/>
          <w:sz w:val="21"/>
          <w:szCs w:val="21"/>
          <w:lang w:val="uk-UA"/>
        </w:rPr>
        <w:t>ів та</w:t>
      </w:r>
      <w:r w:rsidR="00ED3099" w:rsidRPr="00AA1112">
        <w:rPr>
          <w:rFonts w:ascii="Arial" w:hAnsi="Arial" w:cs="Arial"/>
          <w:sz w:val="21"/>
          <w:szCs w:val="21"/>
          <w:lang w:val="uk-UA"/>
        </w:rPr>
        <w:t xml:space="preserve"> представників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інших юридичних професій щодо </w:t>
      </w:r>
      <w:r w:rsidR="001F33C2" w:rsidRPr="00AA1112">
        <w:rPr>
          <w:rFonts w:ascii="Arial" w:hAnsi="Arial" w:cs="Arial"/>
          <w:sz w:val="21"/>
          <w:szCs w:val="21"/>
          <w:lang w:val="uk-UA"/>
        </w:rPr>
        <w:t xml:space="preserve">розгляду/ведення </w:t>
      </w:r>
      <w:r w:rsidR="00092558" w:rsidRPr="00AA1112">
        <w:rPr>
          <w:rFonts w:ascii="Arial" w:hAnsi="Arial" w:cs="Arial"/>
          <w:sz w:val="21"/>
          <w:szCs w:val="21"/>
          <w:lang w:val="uk-UA"/>
        </w:rPr>
        <w:t>справ, пов'язаних із окуповани</w:t>
      </w:r>
      <w:r w:rsidR="001F33C2" w:rsidRPr="00AA1112">
        <w:rPr>
          <w:rFonts w:ascii="Arial" w:hAnsi="Arial" w:cs="Arial"/>
          <w:sz w:val="21"/>
          <w:szCs w:val="21"/>
          <w:lang w:val="uk-UA"/>
        </w:rPr>
        <w:t>ми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територія</w:t>
      </w:r>
      <w:r w:rsidR="001F33C2" w:rsidRPr="00AA1112">
        <w:rPr>
          <w:rFonts w:ascii="Arial" w:hAnsi="Arial" w:cs="Arial"/>
          <w:sz w:val="21"/>
          <w:szCs w:val="21"/>
          <w:lang w:val="uk-UA"/>
        </w:rPr>
        <w:t>ми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, </w:t>
      </w:r>
      <w:r w:rsidR="001F33C2" w:rsidRPr="00AA1112">
        <w:rPr>
          <w:rFonts w:ascii="Arial" w:hAnsi="Arial" w:cs="Arial"/>
          <w:sz w:val="21"/>
          <w:szCs w:val="21"/>
          <w:lang w:val="uk-UA"/>
        </w:rPr>
        <w:t xml:space="preserve">а </w:t>
      </w:r>
      <w:r w:rsidR="00092558" w:rsidRPr="00AA1112">
        <w:rPr>
          <w:rFonts w:ascii="Arial" w:hAnsi="Arial" w:cs="Arial"/>
          <w:sz w:val="21"/>
          <w:szCs w:val="21"/>
          <w:lang w:val="uk-UA"/>
        </w:rPr>
        <w:t>та</w:t>
      </w:r>
      <w:r w:rsidR="001F33C2" w:rsidRPr="00AA1112">
        <w:rPr>
          <w:rFonts w:ascii="Arial" w:hAnsi="Arial" w:cs="Arial"/>
          <w:sz w:val="21"/>
          <w:szCs w:val="21"/>
          <w:lang w:val="uk-UA"/>
        </w:rPr>
        <w:t>кож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</w:t>
      </w:r>
      <w:r w:rsidR="001F33C2" w:rsidRPr="00AA1112">
        <w:rPr>
          <w:rFonts w:ascii="Arial" w:hAnsi="Arial" w:cs="Arial"/>
          <w:sz w:val="21"/>
          <w:szCs w:val="21"/>
          <w:lang w:val="uk-UA"/>
        </w:rPr>
        <w:t>щодо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кращ</w:t>
      </w:r>
      <w:r w:rsidR="001F33C2" w:rsidRPr="00AA1112">
        <w:rPr>
          <w:rFonts w:ascii="Arial" w:hAnsi="Arial" w:cs="Arial"/>
          <w:sz w:val="21"/>
          <w:szCs w:val="21"/>
          <w:lang w:val="uk-UA"/>
        </w:rPr>
        <w:t>ої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європейськ</w:t>
      </w:r>
      <w:r w:rsidR="001F33C2" w:rsidRPr="00AA1112">
        <w:rPr>
          <w:rFonts w:ascii="Arial" w:hAnsi="Arial" w:cs="Arial"/>
          <w:sz w:val="21"/>
          <w:szCs w:val="21"/>
          <w:lang w:val="uk-UA"/>
        </w:rPr>
        <w:t>ої</w:t>
      </w:r>
      <w:r w:rsidR="00092558" w:rsidRPr="00AA1112">
        <w:rPr>
          <w:rFonts w:ascii="Arial" w:hAnsi="Arial" w:cs="Arial"/>
          <w:sz w:val="21"/>
          <w:szCs w:val="21"/>
          <w:lang w:val="uk-UA"/>
        </w:rPr>
        <w:t xml:space="preserve"> практик</w:t>
      </w:r>
      <w:r w:rsidR="001F33C2" w:rsidRPr="00AA1112">
        <w:rPr>
          <w:rFonts w:ascii="Arial" w:hAnsi="Arial" w:cs="Arial"/>
          <w:sz w:val="21"/>
          <w:szCs w:val="21"/>
          <w:lang w:val="uk-UA"/>
        </w:rPr>
        <w:t>и з цього питання</w:t>
      </w:r>
      <w:r w:rsidR="00092558" w:rsidRPr="00AA1112">
        <w:rPr>
          <w:rFonts w:ascii="Arial" w:hAnsi="Arial" w:cs="Arial"/>
          <w:sz w:val="21"/>
          <w:szCs w:val="21"/>
          <w:lang w:val="uk-UA"/>
        </w:rPr>
        <w:t>;</w:t>
      </w:r>
    </w:p>
    <w:p w:rsidR="00092558" w:rsidRPr="00AA1112" w:rsidRDefault="00092558" w:rsidP="0092024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 xml:space="preserve">Забезпечити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необхідні заходи безпеки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для суддів та інших фахівців, які займаються справами щодо окупованих територій.</w:t>
      </w:r>
    </w:p>
    <w:p w:rsidR="00920243" w:rsidRPr="00AA1112" w:rsidRDefault="00920243" w:rsidP="00920243">
      <w:pPr>
        <w:jc w:val="both"/>
        <w:rPr>
          <w:rFonts w:ascii="Arial" w:hAnsi="Arial" w:cs="Arial"/>
          <w:sz w:val="21"/>
          <w:szCs w:val="21"/>
          <w:lang w:val="uk-UA"/>
        </w:rPr>
      </w:pPr>
    </w:p>
    <w:p w:rsidR="00920243" w:rsidRPr="00AA1112" w:rsidRDefault="00920243" w:rsidP="00920243">
      <w:pPr>
        <w:jc w:val="both"/>
        <w:rPr>
          <w:rFonts w:ascii="Arial" w:hAnsi="Arial" w:cs="Arial"/>
          <w:b/>
          <w:bCs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VI. Вдосконалення юридичної освіти та доступу до професії</w:t>
      </w:r>
    </w:p>
    <w:p w:rsidR="00920243" w:rsidRPr="00AA1112" w:rsidRDefault="00920243" w:rsidP="002D21F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 xml:space="preserve">Подальше вдосконалення юридичної освіти шляхом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зменшення чисельності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та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 xml:space="preserve">підвищення якості </w:t>
      </w:r>
      <w:r w:rsidRPr="00AA1112">
        <w:rPr>
          <w:rFonts w:ascii="Arial" w:hAnsi="Arial" w:cs="Arial"/>
          <w:sz w:val="21"/>
          <w:szCs w:val="21"/>
          <w:lang w:val="uk-UA"/>
        </w:rPr>
        <w:t>юридичних шкіл;</w:t>
      </w:r>
    </w:p>
    <w:p w:rsidR="00920243" w:rsidRPr="00AA1112" w:rsidRDefault="00920243" w:rsidP="002D21F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 xml:space="preserve">Забезпечення доступу до професії шляхом запровадження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єдиного іспиту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для суддів, прокурорів та адвокатів;</w:t>
      </w:r>
    </w:p>
    <w:p w:rsidR="00920243" w:rsidRPr="00AA1112" w:rsidRDefault="00920243" w:rsidP="002D21F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sz w:val="21"/>
          <w:szCs w:val="21"/>
          <w:lang w:val="uk-UA"/>
        </w:rPr>
        <w:t xml:space="preserve">Подальший розвиток і підтримка </w:t>
      </w: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самоврядування студентів</w:t>
      </w:r>
      <w:r w:rsidRPr="00AA1112">
        <w:rPr>
          <w:rFonts w:ascii="Arial" w:hAnsi="Arial" w:cs="Arial"/>
          <w:sz w:val="21"/>
          <w:szCs w:val="21"/>
          <w:lang w:val="uk-UA"/>
        </w:rPr>
        <w:t>, їхня активна участь у розробці та впровадженні політики;</w:t>
      </w:r>
    </w:p>
    <w:p w:rsidR="00920243" w:rsidRPr="00AA1112" w:rsidRDefault="00920243" w:rsidP="002D21F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uk-UA"/>
        </w:rPr>
      </w:pPr>
      <w:r w:rsidRPr="00AA1112">
        <w:rPr>
          <w:rFonts w:ascii="Arial" w:hAnsi="Arial" w:cs="Arial"/>
          <w:b/>
          <w:bCs/>
          <w:sz w:val="21"/>
          <w:szCs w:val="21"/>
          <w:lang w:val="uk-UA"/>
        </w:rPr>
        <w:t>Ширше залучення студентів-юристів</w:t>
      </w:r>
      <w:r w:rsidRPr="00AA1112">
        <w:rPr>
          <w:rFonts w:ascii="Arial" w:hAnsi="Arial" w:cs="Arial"/>
          <w:sz w:val="21"/>
          <w:szCs w:val="21"/>
          <w:lang w:val="uk-UA"/>
        </w:rPr>
        <w:t xml:space="preserve"> до надання первинної та вторинної правової допомоги.</w:t>
      </w:r>
    </w:p>
    <w:sectPr w:rsidR="00920243" w:rsidRPr="00AA1112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8F" w:rsidRDefault="0011078F">
      <w:r>
        <w:separator/>
      </w:r>
    </w:p>
  </w:endnote>
  <w:endnote w:type="continuationSeparator" w:id="0">
    <w:p w:rsidR="0011078F" w:rsidRDefault="001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5010000000000000000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C9" w:rsidRDefault="00A9200F">
    <w:pPr>
      <w:pStyle w:val="Footer"/>
      <w:rPr>
        <w:rFonts w:ascii="Arial" w:hAnsi="Arial"/>
      </w:rPr>
    </w:pPr>
    <w:r>
      <w:rPr>
        <w:rFonts w:ascii="Arial" w:hAnsi="Arial"/>
        <w:noProof/>
        <w:lang w:val="uk-UA" w:eastAsia="uk-U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3543935</wp:posOffset>
              </wp:positionH>
              <wp:positionV relativeFrom="paragraph">
                <wp:posOffset>-457835</wp:posOffset>
              </wp:positionV>
              <wp:extent cx="86360" cy="174625"/>
              <wp:effectExtent l="0" t="0" r="0" b="0"/>
              <wp:wrapSquare wrapText="largest"/>
              <wp:docPr id="2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623C9" w:rsidRDefault="00A9200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ascii="Arial" w:hAnsi="Arial"/>
                            </w:rPr>
                            <w:fldChar w:fldCharType="separate"/>
                          </w:r>
                          <w:r w:rsidR="00AA1112">
                            <w:rPr>
                              <w:rStyle w:val="PageNumber"/>
                              <w:rFonts w:ascii="Arial" w:hAnsi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Рамка1" o:spid="_x0000_s1026" style="position:absolute;margin-left:279.05pt;margin-top:-36.05pt;width:6.8pt;height:13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" filled="f" stroked="f">
              <v:textbox style="mso-fit-shape-to-text:t" inset="0,0,0,0">
                <w:txbxContent>
                  <w:p w:rsidR="006623C9" w:rsidRDefault="00A9200F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/>
                      </w:rPr>
                      <w:instrText>PAGE</w:instrText>
                    </w:r>
                    <w:r>
                      <w:rPr>
                        <w:rStyle w:val="PageNumber"/>
                        <w:rFonts w:ascii="Arial" w:hAnsi="Arial"/>
                      </w:rPr>
                      <w:fldChar w:fldCharType="separate"/>
                    </w:r>
                    <w:r w:rsidR="00AA1112">
                      <w:rPr>
                        <w:rStyle w:val="PageNumber"/>
                        <w:rFonts w:ascii="Arial" w:hAnsi="Arial"/>
                        <w:noProof/>
                      </w:rPr>
                      <w:t>2</w:t>
                    </w:r>
                    <w:r>
                      <w:rPr>
                        <w:rStyle w:val="PageNumber"/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8F" w:rsidRDefault="0011078F">
      <w:r>
        <w:separator/>
      </w:r>
    </w:p>
  </w:footnote>
  <w:footnote w:type="continuationSeparator" w:id="0">
    <w:p w:rsidR="0011078F" w:rsidRDefault="0011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C9" w:rsidRDefault="006623C9">
    <w:pPr>
      <w:pStyle w:val="Header"/>
    </w:pPr>
  </w:p>
  <w:p w:rsidR="006623C9" w:rsidRDefault="00A9200F">
    <w:pPr>
      <w:pStyle w:val="Header"/>
    </w:pPr>
    <w:r>
      <w:rPr>
        <w:noProof/>
        <w:lang w:val="uk-UA" w:eastAsia="uk-UA"/>
      </w:rPr>
      <w:drawing>
        <wp:anchor distT="0" distB="0" distL="114300" distR="115570" simplePos="0" relativeHeight="7" behindDoc="1" locked="0" layoutInCell="1" allowOverlap="1">
          <wp:simplePos x="0" y="0"/>
          <wp:positionH relativeFrom="margin">
            <wp:posOffset>2275840</wp:posOffset>
          </wp:positionH>
          <wp:positionV relativeFrom="page">
            <wp:posOffset>247650</wp:posOffset>
          </wp:positionV>
          <wp:extent cx="152273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23C9" w:rsidRDefault="006623C9">
    <w:pPr>
      <w:pStyle w:val="Header"/>
    </w:pPr>
  </w:p>
  <w:p w:rsidR="006623C9" w:rsidRDefault="006623C9">
    <w:pPr>
      <w:pStyle w:val="Header"/>
    </w:pPr>
  </w:p>
  <w:p w:rsidR="006623C9" w:rsidRDefault="006623C9">
    <w:pPr>
      <w:pStyle w:val="Header"/>
    </w:pPr>
  </w:p>
  <w:p w:rsidR="006623C9" w:rsidRDefault="006623C9">
    <w:pPr>
      <w:pStyle w:val="Header"/>
    </w:pPr>
  </w:p>
  <w:p w:rsidR="006623C9" w:rsidRDefault="00662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5B8"/>
    <w:multiLevelType w:val="multilevel"/>
    <w:tmpl w:val="C5EA2FC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AB9"/>
    <w:multiLevelType w:val="hybridMultilevel"/>
    <w:tmpl w:val="ECF29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240"/>
    <w:multiLevelType w:val="hybridMultilevel"/>
    <w:tmpl w:val="16A89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05"/>
    <w:multiLevelType w:val="multilevel"/>
    <w:tmpl w:val="3AD42EDC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667F"/>
    <w:multiLevelType w:val="multilevel"/>
    <w:tmpl w:val="DD0CA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BC7102"/>
    <w:multiLevelType w:val="hybridMultilevel"/>
    <w:tmpl w:val="5CAEF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60378"/>
    <w:multiLevelType w:val="hybridMultilevel"/>
    <w:tmpl w:val="06FE8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D7786"/>
    <w:multiLevelType w:val="multilevel"/>
    <w:tmpl w:val="4E0ED4AA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35B2D"/>
    <w:multiLevelType w:val="hybridMultilevel"/>
    <w:tmpl w:val="0798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723D0"/>
    <w:multiLevelType w:val="hybridMultilevel"/>
    <w:tmpl w:val="23BC6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9"/>
    <w:rsid w:val="00001E25"/>
    <w:rsid w:val="00013EE4"/>
    <w:rsid w:val="00031B45"/>
    <w:rsid w:val="0003727C"/>
    <w:rsid w:val="00092558"/>
    <w:rsid w:val="000A1A49"/>
    <w:rsid w:val="000E606E"/>
    <w:rsid w:val="0011078F"/>
    <w:rsid w:val="00130D4C"/>
    <w:rsid w:val="00131CC5"/>
    <w:rsid w:val="001F33C2"/>
    <w:rsid w:val="001F3FE1"/>
    <w:rsid w:val="001F61B5"/>
    <w:rsid w:val="00233CE8"/>
    <w:rsid w:val="00280788"/>
    <w:rsid w:val="002D21FD"/>
    <w:rsid w:val="002D374E"/>
    <w:rsid w:val="002D5485"/>
    <w:rsid w:val="002E6E98"/>
    <w:rsid w:val="00325477"/>
    <w:rsid w:val="00334207"/>
    <w:rsid w:val="003A280B"/>
    <w:rsid w:val="00475007"/>
    <w:rsid w:val="00477F1E"/>
    <w:rsid w:val="00586F42"/>
    <w:rsid w:val="005A2E6E"/>
    <w:rsid w:val="006465E3"/>
    <w:rsid w:val="00650702"/>
    <w:rsid w:val="006623C9"/>
    <w:rsid w:val="00697D43"/>
    <w:rsid w:val="006B252F"/>
    <w:rsid w:val="007F09A1"/>
    <w:rsid w:val="00807D2D"/>
    <w:rsid w:val="008A3305"/>
    <w:rsid w:val="008A58F9"/>
    <w:rsid w:val="008C5827"/>
    <w:rsid w:val="008E1215"/>
    <w:rsid w:val="00920243"/>
    <w:rsid w:val="00921AFF"/>
    <w:rsid w:val="00963B63"/>
    <w:rsid w:val="00986EA8"/>
    <w:rsid w:val="00997C95"/>
    <w:rsid w:val="009C0E0D"/>
    <w:rsid w:val="00A9200F"/>
    <w:rsid w:val="00AA1112"/>
    <w:rsid w:val="00B17613"/>
    <w:rsid w:val="00BC6D93"/>
    <w:rsid w:val="00C17EE2"/>
    <w:rsid w:val="00C52D8B"/>
    <w:rsid w:val="00C61ADA"/>
    <w:rsid w:val="00C7750B"/>
    <w:rsid w:val="00CB509D"/>
    <w:rsid w:val="00D53DBD"/>
    <w:rsid w:val="00DD1690"/>
    <w:rsid w:val="00E32A6A"/>
    <w:rsid w:val="00ED3099"/>
    <w:rsid w:val="00F708D9"/>
    <w:rsid w:val="00F91975"/>
    <w:rsid w:val="00FB0045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EDBA-6955-804B-B22E-4DD53F3E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Маркери списку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4898"/>
    <w:rPr>
      <w:color w:val="00000A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4898"/>
    <w:rPr>
      <w:color w:val="00000A"/>
      <w:sz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EC2DBC"/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Arial" w:hAnsi="Arial"/>
      <w:b/>
      <w:sz w:val="22"/>
    </w:rPr>
  </w:style>
  <w:style w:type="character" w:customStyle="1" w:styleId="ListLabel12">
    <w:name w:val="ListLabel 12"/>
    <w:qFormat/>
    <w:rPr>
      <w:rFonts w:ascii="Arial" w:hAnsi="Arial"/>
      <w:b w:val="0"/>
      <w:sz w:val="22"/>
    </w:rPr>
  </w:style>
  <w:style w:type="character" w:customStyle="1" w:styleId="ListLabel13">
    <w:name w:val="ListLabel 13"/>
    <w:qFormat/>
    <w:rPr>
      <w:b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Покажчик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a1">
    <w:name w:val="Текст у вказаному форматі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89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B4898"/>
    <w:pPr>
      <w:tabs>
        <w:tab w:val="center" w:pos="4513"/>
        <w:tab w:val="right" w:pos="9026"/>
      </w:tabs>
    </w:pPr>
  </w:style>
  <w:style w:type="paragraph" w:customStyle="1" w:styleId="a2">
    <w:name w:val="Вміст рамки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Oksana Tsymbr</cp:lastModifiedBy>
  <cp:revision>61</cp:revision>
  <dcterms:created xsi:type="dcterms:W3CDTF">2019-06-25T17:42:00Z</dcterms:created>
  <dcterms:modified xsi:type="dcterms:W3CDTF">2019-07-31T12:36:00Z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